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8280"/>
      </w:tblGrid>
      <w:tr w:rsidR="006A6751" w:rsidTr="006A6751">
        <w:trPr>
          <w:trHeight w:val="357"/>
        </w:trPr>
        <w:tc>
          <w:tcPr>
            <w:tcW w:w="10440" w:type="dxa"/>
            <w:gridSpan w:val="2"/>
            <w:tcBorders>
              <w:top w:val="single" w:sz="4" w:space="0" w:color="auto"/>
              <w:left w:val="single" w:sz="4" w:space="0" w:color="auto"/>
              <w:bottom w:val="single" w:sz="4" w:space="0" w:color="auto"/>
              <w:right w:val="single" w:sz="4" w:space="0" w:color="auto"/>
            </w:tcBorders>
            <w:hideMark/>
          </w:tcPr>
          <w:p w:rsidR="006A6751" w:rsidRDefault="006A6751">
            <w:pPr>
              <w:pStyle w:val="Nagwek1"/>
              <w:spacing w:before="60" w:after="6"/>
              <w:rPr>
                <w:color w:val="1F497D"/>
              </w:rPr>
            </w:pPr>
            <w:r>
              <w:rPr>
                <w:color w:val="1F497D"/>
              </w:rPr>
              <w:t>KARTA USŁUGI</w:t>
            </w:r>
          </w:p>
        </w:tc>
      </w:tr>
      <w:tr w:rsidR="006A6751" w:rsidTr="006A6751">
        <w:trPr>
          <w:trHeight w:val="550"/>
        </w:trPr>
        <w:tc>
          <w:tcPr>
            <w:tcW w:w="10440" w:type="dxa"/>
            <w:gridSpan w:val="2"/>
            <w:tcBorders>
              <w:top w:val="single" w:sz="4" w:space="0" w:color="auto"/>
              <w:left w:val="single" w:sz="4" w:space="0" w:color="auto"/>
              <w:bottom w:val="single" w:sz="4" w:space="0" w:color="auto"/>
              <w:right w:val="single" w:sz="4" w:space="0" w:color="auto"/>
            </w:tcBorders>
            <w:hideMark/>
          </w:tcPr>
          <w:p w:rsidR="006A6751" w:rsidRDefault="006A6751">
            <w:pPr>
              <w:pStyle w:val="Nagwek1"/>
              <w:spacing w:before="60" w:after="60"/>
              <w:rPr>
                <w:color w:val="1F497D"/>
              </w:rPr>
            </w:pPr>
            <w:r>
              <w:rPr>
                <w:color w:val="1F497D"/>
              </w:rPr>
              <w:t>DECYZJA O PRZENIESIENIU DECYZJI O WARUNKACH ZABUDOWY</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pPr>
              <w:jc w:val="center"/>
            </w:pPr>
            <w:r>
              <w:rPr>
                <w:noProof/>
              </w:rPr>
              <w:drawing>
                <wp:anchor distT="0" distB="0" distL="114300" distR="114300" simplePos="0" relativeHeight="251658240" behindDoc="1" locked="0" layoutInCell="1" allowOverlap="1">
                  <wp:simplePos x="0" y="0"/>
                  <wp:positionH relativeFrom="column">
                    <wp:posOffset>99695</wp:posOffset>
                  </wp:positionH>
                  <wp:positionV relativeFrom="paragraph">
                    <wp:posOffset>48260</wp:posOffset>
                  </wp:positionV>
                  <wp:extent cx="1129030" cy="1193800"/>
                  <wp:effectExtent l="0" t="0" r="0" b="0"/>
                  <wp:wrapTight wrapText="bothSides">
                    <wp:wrapPolygon edited="0">
                      <wp:start x="1458" y="345"/>
                      <wp:lineTo x="1822" y="17923"/>
                      <wp:lineTo x="7654" y="20681"/>
                      <wp:lineTo x="9840" y="20681"/>
                      <wp:lineTo x="11663" y="20681"/>
                      <wp:lineTo x="13849" y="20681"/>
                      <wp:lineTo x="19681" y="17923"/>
                      <wp:lineTo x="19681" y="16889"/>
                      <wp:lineTo x="20045" y="11719"/>
                      <wp:lineTo x="20045" y="345"/>
                      <wp:lineTo x="1458" y="345"/>
                    </wp:wrapPolygon>
                  </wp:wrapTight>
                  <wp:docPr id="2" name="Obraz 2" descr="herb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123"/>
                          <pic:cNvPicPr>
                            <a:picLocks noChangeAspect="1" noChangeArrowheads="1"/>
                          </pic:cNvPicPr>
                        </pic:nvPicPr>
                        <pic:blipFill>
                          <a:blip r:embed="rId7" cstate="print"/>
                          <a:srcRect/>
                          <a:stretch>
                            <a:fillRect/>
                          </a:stretch>
                        </pic:blipFill>
                        <pic:spPr bwMode="auto">
                          <a:xfrm>
                            <a:off x="0" y="0"/>
                            <a:ext cx="1129030" cy="1193800"/>
                          </a:xfrm>
                          <a:prstGeom prst="rect">
                            <a:avLst/>
                          </a:prstGeom>
                          <a:noFill/>
                        </pic:spPr>
                      </pic:pic>
                    </a:graphicData>
                  </a:graphic>
                </wp:anchor>
              </w:drawing>
            </w:r>
          </w:p>
        </w:tc>
        <w:tc>
          <w:tcPr>
            <w:tcW w:w="8280" w:type="dxa"/>
            <w:tcBorders>
              <w:top w:val="single" w:sz="4" w:space="0" w:color="auto"/>
              <w:left w:val="single" w:sz="4" w:space="0" w:color="auto"/>
              <w:bottom w:val="single" w:sz="4" w:space="0" w:color="auto"/>
              <w:right w:val="single" w:sz="4" w:space="0" w:color="auto"/>
            </w:tcBorders>
            <w:hideMark/>
          </w:tcPr>
          <w:p w:rsidR="006A6751" w:rsidRDefault="006A6751">
            <w:pPr>
              <w:rPr>
                <w:b/>
                <w:bCs/>
              </w:rPr>
            </w:pPr>
            <w:r>
              <w:rPr>
                <w:b/>
                <w:bCs/>
              </w:rPr>
              <w:t xml:space="preserve">Urząd </w:t>
            </w:r>
            <w:r w:rsidR="00557188">
              <w:rPr>
                <w:b/>
                <w:bCs/>
              </w:rPr>
              <w:t xml:space="preserve">Miasta i </w:t>
            </w:r>
            <w:r>
              <w:rPr>
                <w:b/>
                <w:bCs/>
              </w:rPr>
              <w:t>Gminy Wodzisław</w:t>
            </w:r>
          </w:p>
          <w:p w:rsidR="006A6751" w:rsidRDefault="006A6751">
            <w:pPr>
              <w:rPr>
                <w:b/>
                <w:bCs/>
              </w:rPr>
            </w:pPr>
            <w:r>
              <w:rPr>
                <w:b/>
                <w:bCs/>
              </w:rPr>
              <w:t>ul. Krakowska 6</w:t>
            </w:r>
          </w:p>
          <w:p w:rsidR="006A6751" w:rsidRDefault="006A6751">
            <w:pPr>
              <w:rPr>
                <w:b/>
                <w:bCs/>
              </w:rPr>
            </w:pPr>
            <w:r>
              <w:rPr>
                <w:b/>
                <w:bCs/>
              </w:rPr>
              <w:t>28-330 Wodzisław</w:t>
            </w:r>
          </w:p>
          <w:p w:rsidR="00557188" w:rsidRDefault="006A6751" w:rsidP="00557188">
            <w:r>
              <w:t xml:space="preserve">Dni i godziny urzędowania: </w:t>
            </w:r>
            <w:r w:rsidR="00557188">
              <w:t>poniedziałek od godz. 7.30 do godz. 15.30</w:t>
            </w:r>
          </w:p>
          <w:p w:rsidR="00557188" w:rsidRDefault="00557188" w:rsidP="00557188">
            <w:pPr>
              <w:tabs>
                <w:tab w:val="left" w:pos="2790"/>
              </w:tabs>
            </w:pPr>
            <w:r>
              <w:t xml:space="preserve">                                              wtorek od godz. 8.00 do godz. 16.00</w:t>
            </w:r>
          </w:p>
          <w:p w:rsidR="006A6751" w:rsidRDefault="00557188" w:rsidP="00557188">
            <w:pPr>
              <w:tabs>
                <w:tab w:val="left" w:pos="2790"/>
              </w:tabs>
            </w:pPr>
            <w:r>
              <w:tab/>
              <w:t>środa-piątek od godz. 7.30 do godz. 15.30</w:t>
            </w:r>
          </w:p>
          <w:p w:rsidR="006A6751" w:rsidRDefault="006A6751">
            <w:pPr>
              <w:rPr>
                <w:lang w:val="en-US"/>
              </w:rPr>
            </w:pPr>
            <w:r>
              <w:rPr>
                <w:lang w:val="en-US"/>
              </w:rPr>
              <w:t>tel. +48 (041) 380-61-18 (centrala), fax. +48 (041) 380-61-18</w:t>
            </w:r>
          </w:p>
          <w:p w:rsidR="006A6751" w:rsidRDefault="006A6751">
            <w:pPr>
              <w:rPr>
                <w:lang w:val="en-US"/>
              </w:rPr>
            </w:pPr>
            <w:r>
              <w:rPr>
                <w:lang w:val="en-US"/>
              </w:rPr>
              <w:t xml:space="preserve">e-mail: </w:t>
            </w:r>
            <w:hyperlink r:id="rId8" w:history="1">
              <w:r>
                <w:rPr>
                  <w:rStyle w:val="Hipercze"/>
                  <w:lang w:val="en-US"/>
                </w:rPr>
                <w:t>ugwodzislaw@wp.pl</w:t>
              </w:r>
            </w:hyperlink>
          </w:p>
        </w:tc>
      </w:tr>
      <w:tr w:rsidR="006A6751" w:rsidTr="006A6751">
        <w:trPr>
          <w:trHeight w:val="252"/>
        </w:trPr>
        <w:tc>
          <w:tcPr>
            <w:tcW w:w="10440" w:type="dxa"/>
            <w:gridSpan w:val="2"/>
            <w:tcBorders>
              <w:top w:val="single" w:sz="4" w:space="0" w:color="auto"/>
              <w:left w:val="single" w:sz="4" w:space="0" w:color="auto"/>
              <w:bottom w:val="single" w:sz="4" w:space="0" w:color="auto"/>
              <w:right w:val="single" w:sz="4" w:space="0" w:color="auto"/>
            </w:tcBorders>
          </w:tcPr>
          <w:p w:rsidR="006A6751" w:rsidRDefault="006A6751">
            <w:pPr>
              <w:rPr>
                <w:lang w:val="en-US"/>
              </w:rPr>
            </w:pP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r>
              <w:rPr>
                <w:b/>
                <w:bCs/>
                <w:i/>
                <w:iCs/>
              </w:rPr>
              <w:t>Podstawa prawna:</w:t>
            </w:r>
          </w:p>
        </w:tc>
        <w:tc>
          <w:tcPr>
            <w:tcW w:w="8280" w:type="dxa"/>
            <w:tcBorders>
              <w:top w:val="single" w:sz="4" w:space="0" w:color="auto"/>
              <w:left w:val="single" w:sz="4" w:space="0" w:color="auto"/>
              <w:bottom w:val="single" w:sz="4" w:space="0" w:color="auto"/>
              <w:right w:val="single" w:sz="4" w:space="0" w:color="auto"/>
            </w:tcBorders>
            <w:hideMark/>
          </w:tcPr>
          <w:p w:rsidR="006A6751" w:rsidRPr="004D578A" w:rsidRDefault="004D578A" w:rsidP="004D578A">
            <w:pPr>
              <w:pStyle w:val="Akapitzlist"/>
              <w:numPr>
                <w:ilvl w:val="0"/>
                <w:numId w:val="1"/>
              </w:numPr>
              <w:jc w:val="both"/>
              <w:rPr>
                <w:snapToGrid w:val="0"/>
              </w:rPr>
            </w:pPr>
            <w:r w:rsidRPr="004D578A">
              <w:rPr>
                <w:sz w:val="22"/>
                <w:szCs w:val="22"/>
              </w:rPr>
              <w:t>Art. 63 ust. 5</w:t>
            </w:r>
            <w:r>
              <w:rPr>
                <w:sz w:val="22"/>
                <w:szCs w:val="22"/>
              </w:rPr>
              <w:t xml:space="preserve"> </w:t>
            </w:r>
            <w:r w:rsidRPr="004D578A">
              <w:rPr>
                <w:sz w:val="22"/>
                <w:szCs w:val="22"/>
              </w:rPr>
              <w:t xml:space="preserve">ustawy </w:t>
            </w:r>
            <w:r w:rsidR="006A6751" w:rsidRPr="004D578A">
              <w:rPr>
                <w:snapToGrid w:val="0"/>
                <w:sz w:val="22"/>
                <w:szCs w:val="22"/>
              </w:rPr>
              <w:t xml:space="preserve">o planowaniu i zagospodarowaniu przestrzennym (Dz. U. </w:t>
            </w:r>
            <w:r>
              <w:rPr>
                <w:snapToGrid w:val="0"/>
                <w:sz w:val="22"/>
                <w:szCs w:val="22"/>
              </w:rPr>
              <w:t xml:space="preserve">               </w:t>
            </w:r>
            <w:r w:rsidR="00557188">
              <w:rPr>
                <w:snapToGrid w:val="0"/>
                <w:sz w:val="22"/>
                <w:szCs w:val="22"/>
              </w:rPr>
              <w:t>z 2020</w:t>
            </w:r>
            <w:r w:rsidR="006A6751" w:rsidRPr="004D578A">
              <w:rPr>
                <w:snapToGrid w:val="0"/>
                <w:sz w:val="22"/>
                <w:szCs w:val="22"/>
              </w:rPr>
              <w:t xml:space="preserve">r., poz. </w:t>
            </w:r>
            <w:r w:rsidR="00557188">
              <w:rPr>
                <w:snapToGrid w:val="0"/>
                <w:sz w:val="22"/>
                <w:szCs w:val="22"/>
              </w:rPr>
              <w:t>293</w:t>
            </w:r>
            <w:r w:rsidR="006A6751" w:rsidRPr="004D578A">
              <w:rPr>
                <w:snapToGrid w:val="0"/>
                <w:sz w:val="22"/>
                <w:szCs w:val="22"/>
              </w:rPr>
              <w:t xml:space="preserve"> z późn. zm.)</w:t>
            </w:r>
          </w:p>
          <w:p w:rsidR="006A6751" w:rsidRDefault="006A6751" w:rsidP="008830D0">
            <w:pPr>
              <w:numPr>
                <w:ilvl w:val="0"/>
                <w:numId w:val="1"/>
              </w:numPr>
              <w:jc w:val="both"/>
            </w:pPr>
            <w:r>
              <w:rPr>
                <w:snapToGrid w:val="0"/>
                <w:sz w:val="22"/>
                <w:szCs w:val="22"/>
              </w:rPr>
              <w:t xml:space="preserve">Ustawa  z  dnia 14 czerwca 1960r. Kodeks postępowania </w:t>
            </w:r>
            <w:r w:rsidR="00557188">
              <w:rPr>
                <w:snapToGrid w:val="0"/>
                <w:sz w:val="22"/>
                <w:szCs w:val="22"/>
              </w:rPr>
              <w:t>administracyjnego (Dz. U. z 2020r., poz. 256 z późn. zm.</w:t>
            </w:r>
            <w:r>
              <w:rPr>
                <w:snapToGrid w:val="0"/>
                <w:sz w:val="22"/>
                <w:szCs w:val="22"/>
              </w:rPr>
              <w:t xml:space="preserve">)                      </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r>
              <w:rPr>
                <w:b/>
                <w:bCs/>
                <w:i/>
                <w:iCs/>
              </w:rPr>
              <w:t>Wymagane dokumenty:</w:t>
            </w:r>
          </w:p>
        </w:tc>
        <w:tc>
          <w:tcPr>
            <w:tcW w:w="8280" w:type="dxa"/>
            <w:tcBorders>
              <w:top w:val="single" w:sz="4" w:space="0" w:color="auto"/>
              <w:left w:val="single" w:sz="4" w:space="0" w:color="auto"/>
              <w:bottom w:val="single" w:sz="4" w:space="0" w:color="auto"/>
              <w:right w:val="single" w:sz="4" w:space="0" w:color="auto"/>
            </w:tcBorders>
          </w:tcPr>
          <w:p w:rsidR="006A6751" w:rsidRDefault="00E95507">
            <w:pPr>
              <w:ind w:left="360" w:hanging="360"/>
              <w:jc w:val="both"/>
              <w:rPr>
                <w:b/>
              </w:rPr>
            </w:pPr>
            <w:r>
              <w:rPr>
                <w:b/>
              </w:rPr>
              <w:t>Wniosek o przeniesienie decyzji o warunkach zabudowy powinien zawierać:</w:t>
            </w:r>
          </w:p>
          <w:p w:rsidR="00E95507" w:rsidRDefault="00E95507" w:rsidP="00E95507">
            <w:pPr>
              <w:pStyle w:val="Akapitzlist"/>
              <w:numPr>
                <w:ilvl w:val="0"/>
                <w:numId w:val="3"/>
              </w:numPr>
              <w:jc w:val="both"/>
            </w:pPr>
            <w:r>
              <w:t>i</w:t>
            </w:r>
            <w:r w:rsidRPr="00E95507">
              <w:t>mię i nazwisko, dokładny adres i numer telefonu kontaktowego osoby składającej niniejszy wniosek,</w:t>
            </w:r>
          </w:p>
          <w:p w:rsidR="00E95507" w:rsidRDefault="00E95507" w:rsidP="00E95507">
            <w:pPr>
              <w:pStyle w:val="Akapitzlist"/>
              <w:numPr>
                <w:ilvl w:val="0"/>
                <w:numId w:val="3"/>
              </w:numPr>
              <w:jc w:val="both"/>
            </w:pPr>
            <w:r>
              <w:t>oświadczenie strony na rzecz której decyzja została wydana o wyrażeniu zgody na przeniesienie tej decyzji na rzecz innego podmiotu,</w:t>
            </w:r>
          </w:p>
          <w:p w:rsidR="00E95507" w:rsidRDefault="00E95507" w:rsidP="00E95507">
            <w:pPr>
              <w:pStyle w:val="Akapitzlist"/>
              <w:numPr>
                <w:ilvl w:val="0"/>
                <w:numId w:val="3"/>
              </w:numPr>
              <w:jc w:val="both"/>
            </w:pPr>
            <w:r>
              <w:t xml:space="preserve">oświadczenie strony na rzecz której zostanie przeniesiona decyzja,                             o przyjęciu wszystkich warunków zawartych w decyzji, </w:t>
            </w:r>
          </w:p>
          <w:p w:rsidR="00E95507" w:rsidRDefault="00E95507" w:rsidP="00E95507">
            <w:pPr>
              <w:pStyle w:val="Akapitzlist"/>
              <w:numPr>
                <w:ilvl w:val="0"/>
                <w:numId w:val="3"/>
              </w:numPr>
              <w:jc w:val="both"/>
            </w:pPr>
            <w:r>
              <w:t>dowód zapłaty opłaty skarbowej,</w:t>
            </w:r>
          </w:p>
          <w:p w:rsidR="00E95507" w:rsidRPr="00E95507" w:rsidRDefault="00E95507" w:rsidP="00E95507">
            <w:pPr>
              <w:pStyle w:val="Akapitzlist"/>
              <w:numPr>
                <w:ilvl w:val="0"/>
                <w:numId w:val="3"/>
              </w:numPr>
              <w:jc w:val="both"/>
            </w:pPr>
            <w:r>
              <w:t>ewentualne pisemne upoważnienie (pełnomocnictwo) udzielone osobie działającej w imieniu inwestora.</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pPr>
              <w:spacing w:before="60" w:after="60"/>
            </w:pPr>
            <w:r>
              <w:rPr>
                <w:b/>
                <w:bCs/>
                <w:i/>
                <w:iCs/>
              </w:rPr>
              <w:t>Opłaty:</w:t>
            </w:r>
          </w:p>
        </w:tc>
        <w:tc>
          <w:tcPr>
            <w:tcW w:w="8280" w:type="dxa"/>
            <w:tcBorders>
              <w:top w:val="single" w:sz="4" w:space="0" w:color="auto"/>
              <w:left w:val="single" w:sz="4" w:space="0" w:color="auto"/>
              <w:bottom w:val="single" w:sz="4" w:space="0" w:color="auto"/>
              <w:right w:val="single" w:sz="4" w:space="0" w:color="auto"/>
            </w:tcBorders>
          </w:tcPr>
          <w:p w:rsidR="006A6751" w:rsidRDefault="006A6751" w:rsidP="00325FC6">
            <w:r>
              <w:rPr>
                <w:sz w:val="22"/>
                <w:szCs w:val="22"/>
              </w:rPr>
              <w:t xml:space="preserve">1. Przy składaniu wniosku  o </w:t>
            </w:r>
            <w:r w:rsidR="00E95507">
              <w:rPr>
                <w:sz w:val="22"/>
                <w:szCs w:val="22"/>
              </w:rPr>
              <w:t>przeniesienie decyzji dotyczącej budyn</w:t>
            </w:r>
            <w:r>
              <w:rPr>
                <w:sz w:val="22"/>
                <w:szCs w:val="22"/>
              </w:rPr>
              <w:t>k</w:t>
            </w:r>
            <w:r w:rsidR="00E95507">
              <w:rPr>
                <w:sz w:val="22"/>
                <w:szCs w:val="22"/>
              </w:rPr>
              <w:t>u  mieszkalnego</w:t>
            </w:r>
            <w:r>
              <w:rPr>
                <w:sz w:val="22"/>
                <w:szCs w:val="22"/>
              </w:rPr>
              <w:t xml:space="preserve"> – </w:t>
            </w:r>
            <w:r w:rsidR="00325FC6">
              <w:rPr>
                <w:sz w:val="22"/>
                <w:szCs w:val="22"/>
              </w:rPr>
              <w:t xml:space="preserve"> </w:t>
            </w:r>
            <w:r>
              <w:rPr>
                <w:sz w:val="22"/>
                <w:szCs w:val="22"/>
              </w:rPr>
              <w:t xml:space="preserve">zwolnienie  z opłaty skarbowej. </w:t>
            </w:r>
          </w:p>
          <w:p w:rsidR="006A6751" w:rsidRDefault="006A6751">
            <w:r>
              <w:rPr>
                <w:sz w:val="22"/>
                <w:szCs w:val="22"/>
              </w:rPr>
              <w:t xml:space="preserve">2.  Przy składaniu wniosku </w:t>
            </w:r>
            <w:r w:rsidR="00E95507">
              <w:rPr>
                <w:sz w:val="22"/>
                <w:szCs w:val="22"/>
              </w:rPr>
              <w:t>o przeniesienie decyzji dotyczącej  innych</w:t>
            </w:r>
            <w:r w:rsidR="00325FC6">
              <w:rPr>
                <w:sz w:val="22"/>
                <w:szCs w:val="22"/>
              </w:rPr>
              <w:t xml:space="preserve"> budynków</w:t>
            </w:r>
            <w:r>
              <w:rPr>
                <w:sz w:val="22"/>
                <w:szCs w:val="22"/>
              </w:rPr>
              <w:t xml:space="preserve"> – opłata  </w:t>
            </w:r>
            <w:r>
              <w:rPr>
                <w:sz w:val="22"/>
                <w:szCs w:val="22"/>
              </w:rPr>
              <w:br/>
              <w:t xml:space="preserve">     s</w:t>
            </w:r>
            <w:r w:rsidR="00325FC6">
              <w:rPr>
                <w:sz w:val="22"/>
                <w:szCs w:val="22"/>
              </w:rPr>
              <w:t>karbowa za wydanie decyzji – 56</w:t>
            </w:r>
            <w:r>
              <w:rPr>
                <w:sz w:val="22"/>
                <w:szCs w:val="22"/>
              </w:rPr>
              <w:t xml:space="preserve"> zł.</w:t>
            </w:r>
          </w:p>
          <w:p w:rsidR="006A6751" w:rsidRDefault="006A6751">
            <w:r>
              <w:rPr>
                <w:sz w:val="22"/>
                <w:szCs w:val="22"/>
              </w:rPr>
              <w:t xml:space="preserve">     W przypadku pełnomocnictwa – 17 zł.</w:t>
            </w:r>
          </w:p>
          <w:p w:rsidR="006A6751" w:rsidRDefault="006A6751"/>
          <w:p w:rsidR="006A6751" w:rsidRDefault="006A6751">
            <w:pPr>
              <w:jc w:val="both"/>
            </w:pPr>
            <w:r>
              <w:rPr>
                <w:sz w:val="22"/>
                <w:szCs w:val="22"/>
              </w:rPr>
              <w:t xml:space="preserve">Zapłaty opłaty skarbowej dokonuje się na konto Urzędu </w:t>
            </w:r>
            <w:r w:rsidR="00557188">
              <w:rPr>
                <w:sz w:val="22"/>
                <w:szCs w:val="22"/>
              </w:rPr>
              <w:t xml:space="preserve">Miasta i </w:t>
            </w:r>
            <w:r>
              <w:rPr>
                <w:sz w:val="22"/>
                <w:szCs w:val="22"/>
              </w:rPr>
              <w:t>Gminy Wodzisław</w:t>
            </w:r>
          </w:p>
          <w:p w:rsidR="006A6751" w:rsidRDefault="006A6751">
            <w:pPr>
              <w:jc w:val="both"/>
            </w:pPr>
            <w:r>
              <w:rPr>
                <w:sz w:val="22"/>
                <w:szCs w:val="22"/>
              </w:rPr>
              <w:t xml:space="preserve">Nr konta:                              </w:t>
            </w:r>
            <w:r>
              <w:rPr>
                <w:b/>
                <w:sz w:val="22"/>
                <w:szCs w:val="22"/>
              </w:rPr>
              <w:t>Bank Spółdzielczy w Wodzisławiu</w:t>
            </w:r>
          </w:p>
          <w:p w:rsidR="006A6751" w:rsidRDefault="006A6751">
            <w:pPr>
              <w:ind w:firstLine="708"/>
              <w:jc w:val="center"/>
              <w:rPr>
                <w:b/>
              </w:rPr>
            </w:pPr>
            <w:r>
              <w:rPr>
                <w:b/>
                <w:sz w:val="22"/>
                <w:szCs w:val="22"/>
              </w:rPr>
              <w:t>Nr 51 8526 0001 0000 0130 2000 0004</w:t>
            </w:r>
          </w:p>
          <w:p w:rsidR="006A6751" w:rsidRDefault="006A6751">
            <w:pPr>
              <w:ind w:firstLine="708"/>
              <w:jc w:val="center"/>
            </w:pPr>
            <w:r>
              <w:rPr>
                <w:sz w:val="22"/>
                <w:szCs w:val="22"/>
              </w:rPr>
              <w:t>z dopiskiem:</w:t>
            </w:r>
          </w:p>
          <w:p w:rsidR="006A6751" w:rsidRDefault="006A6751">
            <w:pPr>
              <w:ind w:firstLine="708"/>
              <w:jc w:val="center"/>
              <w:rPr>
                <w:b/>
              </w:rPr>
            </w:pPr>
            <w:r>
              <w:rPr>
                <w:b/>
                <w:sz w:val="22"/>
                <w:szCs w:val="22"/>
              </w:rPr>
              <w:t xml:space="preserve">za wydanie decyzji o </w:t>
            </w:r>
            <w:r w:rsidR="00325FC6">
              <w:rPr>
                <w:b/>
                <w:sz w:val="22"/>
                <w:szCs w:val="22"/>
              </w:rPr>
              <w:t xml:space="preserve">przeniesieniu decyzji o </w:t>
            </w:r>
            <w:r>
              <w:rPr>
                <w:b/>
                <w:sz w:val="22"/>
                <w:szCs w:val="22"/>
              </w:rPr>
              <w:t>warunkach zabudowy</w:t>
            </w:r>
          </w:p>
          <w:p w:rsidR="006A6751" w:rsidRDefault="006A6751">
            <w:pPr>
              <w:jc w:val="both"/>
            </w:pPr>
            <w:r>
              <w:rPr>
                <w:sz w:val="22"/>
                <w:szCs w:val="22"/>
              </w:rPr>
              <w:t>Dowód wpłaty opłaty skarbowej należy dołączyć do wniosku.</w:t>
            </w:r>
          </w:p>
          <w:p w:rsidR="006A6751" w:rsidRDefault="006A6751">
            <w:pPr>
              <w:jc w:val="both"/>
            </w:pPr>
            <w:r>
              <w:rPr>
                <w:sz w:val="22"/>
                <w:szCs w:val="22"/>
              </w:rPr>
              <w:t xml:space="preserve">W przypadku korzystania z internetowej obsługi bankowej należy dostarczyć wydrukowane potwierdzenie złożenia przelewu. </w:t>
            </w:r>
          </w:p>
          <w:p w:rsidR="006A6751" w:rsidRDefault="006A6751">
            <w:pPr>
              <w:spacing w:before="60" w:after="60"/>
              <w:jc w:val="both"/>
            </w:pPr>
            <w:r>
              <w:rPr>
                <w:sz w:val="22"/>
                <w:szCs w:val="22"/>
              </w:rPr>
              <w:t xml:space="preserve">Opłata skarbowa za wydanie decyzji o warunkach zabudowy ustalona  przepisami ustawy </w:t>
            </w:r>
            <w:r w:rsidR="007000A0">
              <w:rPr>
                <w:sz w:val="22"/>
                <w:szCs w:val="22"/>
              </w:rPr>
              <w:br/>
            </w:r>
            <w:r>
              <w:rPr>
                <w:sz w:val="22"/>
                <w:szCs w:val="22"/>
              </w:rPr>
              <w:t>z dnia 16 listopada 2006r. o</w:t>
            </w:r>
            <w:r w:rsidR="00557188">
              <w:rPr>
                <w:sz w:val="22"/>
                <w:szCs w:val="22"/>
              </w:rPr>
              <w:t xml:space="preserve"> opłacie skarbowej (Dz. U.z 2020</w:t>
            </w:r>
            <w:r>
              <w:rPr>
                <w:sz w:val="22"/>
                <w:szCs w:val="22"/>
              </w:rPr>
              <w:t xml:space="preserve">r., poz. </w:t>
            </w:r>
            <w:r w:rsidR="00557188">
              <w:rPr>
                <w:sz w:val="22"/>
                <w:szCs w:val="22"/>
              </w:rPr>
              <w:t>1546</w:t>
            </w:r>
            <w:r>
              <w:rPr>
                <w:sz w:val="22"/>
                <w:szCs w:val="22"/>
              </w:rPr>
              <w:t xml:space="preserve"> z późn. zm.).</w:t>
            </w:r>
          </w:p>
          <w:p w:rsidR="006A6751" w:rsidRDefault="006A6751">
            <w:pPr>
              <w:spacing w:before="60" w:after="60"/>
              <w:jc w:val="both"/>
            </w:pP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r>
              <w:rPr>
                <w:b/>
                <w:bCs/>
                <w:i/>
                <w:iCs/>
              </w:rPr>
              <w:t>Termin załatwienia sprawy:</w:t>
            </w:r>
          </w:p>
        </w:tc>
        <w:tc>
          <w:tcPr>
            <w:tcW w:w="8280" w:type="dxa"/>
            <w:tcBorders>
              <w:top w:val="single" w:sz="4" w:space="0" w:color="auto"/>
              <w:left w:val="single" w:sz="4" w:space="0" w:color="auto"/>
              <w:bottom w:val="single" w:sz="4" w:space="0" w:color="auto"/>
              <w:right w:val="single" w:sz="4" w:space="0" w:color="auto"/>
            </w:tcBorders>
            <w:hideMark/>
          </w:tcPr>
          <w:p w:rsidR="006A6751" w:rsidRPr="00325FC6" w:rsidRDefault="00325FC6">
            <w:pPr>
              <w:rPr>
                <w:b/>
              </w:rPr>
            </w:pPr>
            <w:r w:rsidRPr="00325FC6">
              <w:rPr>
                <w:b/>
                <w:sz w:val="22"/>
              </w:rPr>
              <w:t>W ciągu miesiąca</w:t>
            </w:r>
            <w:r w:rsidR="006A6751" w:rsidRPr="00325FC6">
              <w:rPr>
                <w:b/>
                <w:sz w:val="22"/>
              </w:rPr>
              <w:t xml:space="preserve"> od daty złożenia wniosku.</w:t>
            </w:r>
          </w:p>
          <w:p w:rsidR="006A6751" w:rsidRDefault="006A6751">
            <w:pPr>
              <w:jc w:val="both"/>
            </w:pPr>
            <w:r>
              <w:rPr>
                <w:sz w:val="22"/>
              </w:rPr>
              <w:t>Do w/w terminu nie wlicza się terminów przewidzianych w przepisach prawa dla dokonywania określonych czynności, okresów zawieszenia postępowania oraz okresów opóźnień spowodowanych z winy strony albo z przyczyn niezależnych od organu</w:t>
            </w:r>
          </w:p>
          <w:p w:rsidR="006A6751" w:rsidRDefault="006A6751">
            <w:pPr>
              <w:spacing w:after="120"/>
              <w:jc w:val="both"/>
            </w:pPr>
            <w:r>
              <w:t>O każdym nie załatwieniu sprawy we właściwym terminie organ obowiązany jest zawiadomić stronę, podając przyczyny niedotrzymania terminu i wskazując nowy termin załatwienia sprawy.</w:t>
            </w:r>
          </w:p>
          <w:p w:rsidR="00CB2B3E" w:rsidRDefault="00CB2B3E">
            <w:pPr>
              <w:spacing w:after="120"/>
              <w:jc w:val="both"/>
            </w:pP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pPr>
              <w:rPr>
                <w:b/>
                <w:bCs/>
                <w:i/>
                <w:iCs/>
              </w:rPr>
            </w:pPr>
            <w:r>
              <w:rPr>
                <w:b/>
                <w:bCs/>
                <w:i/>
                <w:iCs/>
              </w:rPr>
              <w:lastRenderedPageBreak/>
              <w:t>Miejsce załatwiania sprawy:</w:t>
            </w:r>
          </w:p>
        </w:tc>
        <w:tc>
          <w:tcPr>
            <w:tcW w:w="8280" w:type="dxa"/>
            <w:tcBorders>
              <w:top w:val="single" w:sz="4" w:space="0" w:color="auto"/>
              <w:left w:val="single" w:sz="4" w:space="0" w:color="auto"/>
              <w:bottom w:val="single" w:sz="4" w:space="0" w:color="auto"/>
              <w:right w:val="single" w:sz="4" w:space="0" w:color="auto"/>
            </w:tcBorders>
            <w:hideMark/>
          </w:tcPr>
          <w:p w:rsidR="006A6751" w:rsidRDefault="006A6751">
            <w:pPr>
              <w:jc w:val="both"/>
            </w:pPr>
            <w:r>
              <w:t xml:space="preserve">Urząd </w:t>
            </w:r>
            <w:r w:rsidR="00557188">
              <w:t xml:space="preserve">Miasta i </w:t>
            </w:r>
            <w:r>
              <w:t xml:space="preserve">Gminy Wodzisław, ul. Krakowska 6, 28-330 Wodzisław. </w:t>
            </w:r>
          </w:p>
          <w:p w:rsidR="006A6751" w:rsidRDefault="006A6751">
            <w:pPr>
              <w:jc w:val="both"/>
            </w:pPr>
            <w:r>
              <w:t>Sekretariat, dni robocze, w godzinach pracy Urzędu lub przesłać pocztą.</w:t>
            </w:r>
          </w:p>
          <w:p w:rsidR="006A6751" w:rsidRDefault="006A6751">
            <w:pPr>
              <w:jc w:val="both"/>
            </w:pPr>
            <w:r>
              <w:t>Informacje szczegółowe – stanowisko merytoryczne pokój Nr 6 (parter) – tel. 41 380 61 18 w. 44</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pPr>
              <w:spacing w:before="60" w:after="60"/>
              <w:rPr>
                <w:b/>
                <w:bCs/>
                <w:i/>
                <w:iCs/>
              </w:rPr>
            </w:pPr>
            <w:r>
              <w:rPr>
                <w:b/>
                <w:bCs/>
                <w:i/>
                <w:iCs/>
              </w:rPr>
              <w:t>Forma załatwienia:</w:t>
            </w:r>
          </w:p>
        </w:tc>
        <w:tc>
          <w:tcPr>
            <w:tcW w:w="8280" w:type="dxa"/>
            <w:tcBorders>
              <w:top w:val="single" w:sz="4" w:space="0" w:color="auto"/>
              <w:left w:val="single" w:sz="4" w:space="0" w:color="auto"/>
              <w:bottom w:val="single" w:sz="4" w:space="0" w:color="auto"/>
              <w:right w:val="single" w:sz="4" w:space="0" w:color="auto"/>
            </w:tcBorders>
            <w:hideMark/>
          </w:tcPr>
          <w:p w:rsidR="006A6751" w:rsidRDefault="006A6751">
            <w:pPr>
              <w:spacing w:before="60" w:after="60"/>
              <w:jc w:val="both"/>
            </w:pPr>
            <w:r>
              <w:t>De</w:t>
            </w:r>
            <w:r w:rsidR="00325FC6">
              <w:t>cyzja administracyjna</w:t>
            </w:r>
            <w:r>
              <w:t xml:space="preserve">. </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r>
              <w:rPr>
                <w:b/>
                <w:bCs/>
                <w:i/>
                <w:iCs/>
              </w:rPr>
              <w:t>Tryb odwoławczy:</w:t>
            </w:r>
          </w:p>
        </w:tc>
        <w:tc>
          <w:tcPr>
            <w:tcW w:w="8280" w:type="dxa"/>
            <w:tcBorders>
              <w:top w:val="single" w:sz="4" w:space="0" w:color="auto"/>
              <w:left w:val="single" w:sz="4" w:space="0" w:color="auto"/>
              <w:bottom w:val="single" w:sz="4" w:space="0" w:color="auto"/>
              <w:right w:val="single" w:sz="4" w:space="0" w:color="auto"/>
            </w:tcBorders>
            <w:hideMark/>
          </w:tcPr>
          <w:p w:rsidR="006A6751" w:rsidRDefault="006A6751">
            <w:pPr>
              <w:spacing w:before="60"/>
              <w:jc w:val="both"/>
            </w:pPr>
            <w:r>
              <w:t xml:space="preserve">Od decyzji służy stronie odwołanie do Samorządowego Kolegium Odwoławczego </w:t>
            </w:r>
            <w:r w:rsidR="007000A0">
              <w:br/>
            </w:r>
            <w:r>
              <w:t xml:space="preserve">w Kielcach, Al. IX Wieków Kielc 3, 25-516 Kielce za pośrednictwem </w:t>
            </w:r>
            <w:r w:rsidR="00557188">
              <w:t xml:space="preserve">Burmistrza Miasta i </w:t>
            </w:r>
            <w:r>
              <w:t>Gminy  Wodzisław w terminie 14 dni od dnia doręczenia decyzji stronie.</w:t>
            </w:r>
          </w:p>
          <w:p w:rsidR="006A6751" w:rsidRDefault="006A6751">
            <w:pPr>
              <w:jc w:val="both"/>
            </w:pPr>
            <w:r>
              <w:t>Do terminu przysługującego na odwołanie nie wlicza się dnia otrzymania decyzji. Jeżeli, koniec 14 dniowego terminu przypada na dzień ustawowo wolny od pracy, ostatnim dniem do złożenia odwołania jest najbliższy dzień powszedni.</w:t>
            </w:r>
          </w:p>
          <w:p w:rsidR="006A6751" w:rsidRDefault="006A6751">
            <w:pPr>
              <w:spacing w:after="60"/>
              <w:jc w:val="both"/>
            </w:pPr>
            <w:r>
              <w:t>O zachowaniu terminu decyduje data złożenia odwołania w urzędzie, a jeżeli zostało nadane w polskiej placówce pocztowej operatora publicznego, decyduje data nadania (stempla pocztowego).</w:t>
            </w:r>
          </w:p>
        </w:tc>
      </w:tr>
      <w:tr w:rsidR="006A6751" w:rsidTr="006A6751">
        <w:tc>
          <w:tcPr>
            <w:tcW w:w="2160" w:type="dxa"/>
            <w:tcBorders>
              <w:top w:val="single" w:sz="4" w:space="0" w:color="auto"/>
              <w:left w:val="single" w:sz="4" w:space="0" w:color="auto"/>
              <w:bottom w:val="single" w:sz="4" w:space="0" w:color="auto"/>
              <w:right w:val="single" w:sz="4" w:space="0" w:color="auto"/>
            </w:tcBorders>
            <w:hideMark/>
          </w:tcPr>
          <w:p w:rsidR="006A6751" w:rsidRDefault="006A6751">
            <w:r>
              <w:rPr>
                <w:b/>
                <w:bCs/>
                <w:i/>
                <w:iCs/>
              </w:rPr>
              <w:t>Dodatkowe informacje:</w:t>
            </w:r>
          </w:p>
        </w:tc>
        <w:tc>
          <w:tcPr>
            <w:tcW w:w="8280" w:type="dxa"/>
            <w:tcBorders>
              <w:top w:val="single" w:sz="4" w:space="0" w:color="auto"/>
              <w:left w:val="single" w:sz="4" w:space="0" w:color="auto"/>
              <w:bottom w:val="single" w:sz="4" w:space="0" w:color="auto"/>
              <w:right w:val="single" w:sz="4" w:space="0" w:color="auto"/>
            </w:tcBorders>
            <w:hideMark/>
          </w:tcPr>
          <w:p w:rsidR="00325FC6" w:rsidRDefault="006A6751" w:rsidP="00325FC6">
            <w:pPr>
              <w:autoSpaceDE w:val="0"/>
              <w:autoSpaceDN w:val="0"/>
              <w:adjustRightInd w:val="0"/>
              <w:rPr>
                <w:i/>
              </w:rPr>
            </w:pPr>
            <w:r>
              <w:rPr>
                <w:b/>
                <w:i/>
                <w:sz w:val="22"/>
                <w:szCs w:val="22"/>
              </w:rPr>
              <w:t xml:space="preserve"> </w:t>
            </w:r>
          </w:p>
          <w:p w:rsidR="006A6751" w:rsidRDefault="006A6751">
            <w:pPr>
              <w:tabs>
                <w:tab w:val="right" w:pos="284"/>
                <w:tab w:val="left" w:pos="408"/>
              </w:tabs>
              <w:autoSpaceDE w:val="0"/>
              <w:autoSpaceDN w:val="0"/>
              <w:adjustRightInd w:val="0"/>
              <w:ind w:left="408" w:hanging="408"/>
              <w:jc w:val="both"/>
              <w:rPr>
                <w:i/>
              </w:rPr>
            </w:pPr>
          </w:p>
        </w:tc>
      </w:tr>
    </w:tbl>
    <w:p w:rsidR="006A6751" w:rsidRDefault="006A6751" w:rsidP="006A6751"/>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4"/>
        <w:gridCol w:w="3206"/>
        <w:gridCol w:w="1684"/>
        <w:gridCol w:w="3106"/>
      </w:tblGrid>
      <w:tr w:rsidR="006A6751" w:rsidTr="006A6751">
        <w:trPr>
          <w:trHeight w:val="278"/>
        </w:trPr>
        <w:tc>
          <w:tcPr>
            <w:tcW w:w="2444" w:type="dxa"/>
            <w:tcBorders>
              <w:top w:val="single" w:sz="4" w:space="0" w:color="auto"/>
              <w:left w:val="single" w:sz="4" w:space="0" w:color="auto"/>
              <w:bottom w:val="single" w:sz="4" w:space="0" w:color="auto"/>
              <w:right w:val="single" w:sz="4" w:space="0" w:color="auto"/>
            </w:tcBorders>
          </w:tcPr>
          <w:p w:rsidR="006A6751" w:rsidRDefault="006A6751">
            <w:pPr>
              <w:rPr>
                <w:sz w:val="18"/>
                <w:szCs w:val="18"/>
              </w:rPr>
            </w:pPr>
          </w:p>
        </w:tc>
        <w:tc>
          <w:tcPr>
            <w:tcW w:w="3206" w:type="dxa"/>
            <w:tcBorders>
              <w:top w:val="single" w:sz="4" w:space="0" w:color="auto"/>
              <w:left w:val="single" w:sz="4" w:space="0" w:color="auto"/>
              <w:bottom w:val="single" w:sz="4" w:space="0" w:color="auto"/>
              <w:right w:val="single" w:sz="4" w:space="0" w:color="auto"/>
            </w:tcBorders>
          </w:tcPr>
          <w:p w:rsidR="006A6751" w:rsidRDefault="006A6751">
            <w:pPr>
              <w:rPr>
                <w:sz w:val="18"/>
                <w:szCs w:val="18"/>
              </w:rPr>
            </w:pPr>
          </w:p>
        </w:tc>
        <w:tc>
          <w:tcPr>
            <w:tcW w:w="1684" w:type="dxa"/>
            <w:tcBorders>
              <w:top w:val="single" w:sz="4" w:space="0" w:color="auto"/>
              <w:left w:val="single" w:sz="4" w:space="0" w:color="auto"/>
              <w:bottom w:val="single" w:sz="4" w:space="0" w:color="auto"/>
              <w:right w:val="single" w:sz="4" w:space="0" w:color="auto"/>
            </w:tcBorders>
          </w:tcPr>
          <w:p w:rsidR="006A6751" w:rsidRDefault="006A6751">
            <w:pPr>
              <w:rPr>
                <w:sz w:val="18"/>
                <w:szCs w:val="18"/>
              </w:rPr>
            </w:pPr>
          </w:p>
        </w:tc>
        <w:tc>
          <w:tcPr>
            <w:tcW w:w="3106" w:type="dxa"/>
            <w:tcBorders>
              <w:top w:val="single" w:sz="4" w:space="0" w:color="auto"/>
              <w:left w:val="single" w:sz="4" w:space="0" w:color="auto"/>
              <w:bottom w:val="single" w:sz="4" w:space="0" w:color="auto"/>
              <w:right w:val="single" w:sz="4" w:space="0" w:color="auto"/>
            </w:tcBorders>
            <w:hideMark/>
          </w:tcPr>
          <w:p w:rsidR="006A6751" w:rsidRDefault="006A6751">
            <w:pPr>
              <w:rPr>
                <w:sz w:val="18"/>
                <w:szCs w:val="18"/>
              </w:rPr>
            </w:pPr>
            <w:r>
              <w:rPr>
                <w:sz w:val="18"/>
                <w:szCs w:val="18"/>
              </w:rPr>
              <w:t xml:space="preserve">Ważne od </w:t>
            </w:r>
          </w:p>
        </w:tc>
      </w:tr>
      <w:tr w:rsidR="006A6751" w:rsidTr="006A6751">
        <w:trPr>
          <w:cantSplit/>
          <w:trHeight w:val="277"/>
        </w:trPr>
        <w:tc>
          <w:tcPr>
            <w:tcW w:w="2444" w:type="dxa"/>
            <w:tcBorders>
              <w:top w:val="single" w:sz="4" w:space="0" w:color="auto"/>
              <w:left w:val="single" w:sz="4" w:space="0" w:color="auto"/>
              <w:bottom w:val="single" w:sz="4" w:space="0" w:color="auto"/>
              <w:right w:val="single" w:sz="4" w:space="0" w:color="auto"/>
            </w:tcBorders>
            <w:hideMark/>
          </w:tcPr>
          <w:p w:rsidR="006A6751" w:rsidRDefault="006A6751">
            <w:pPr>
              <w:rPr>
                <w:sz w:val="18"/>
                <w:szCs w:val="18"/>
              </w:rPr>
            </w:pPr>
            <w:r>
              <w:rPr>
                <w:sz w:val="18"/>
                <w:szCs w:val="18"/>
              </w:rPr>
              <w:t xml:space="preserve">Opracował: </w:t>
            </w:r>
          </w:p>
          <w:p w:rsidR="006A6751" w:rsidRDefault="00557188">
            <w:pPr>
              <w:rPr>
                <w:sz w:val="18"/>
                <w:szCs w:val="18"/>
              </w:rPr>
            </w:pPr>
            <w:r>
              <w:rPr>
                <w:sz w:val="18"/>
                <w:szCs w:val="18"/>
              </w:rPr>
              <w:t>Krzysztof Gwóźdź</w:t>
            </w:r>
          </w:p>
        </w:tc>
        <w:tc>
          <w:tcPr>
            <w:tcW w:w="3206" w:type="dxa"/>
            <w:tcBorders>
              <w:top w:val="single" w:sz="4" w:space="0" w:color="auto"/>
              <w:left w:val="single" w:sz="4" w:space="0" w:color="auto"/>
              <w:bottom w:val="single" w:sz="4" w:space="0" w:color="auto"/>
              <w:right w:val="single" w:sz="4" w:space="0" w:color="auto"/>
            </w:tcBorders>
          </w:tcPr>
          <w:p w:rsidR="006A6751" w:rsidRDefault="006A6751">
            <w:pPr>
              <w:rPr>
                <w:sz w:val="18"/>
                <w:szCs w:val="18"/>
              </w:rPr>
            </w:pPr>
            <w:r>
              <w:rPr>
                <w:sz w:val="18"/>
                <w:szCs w:val="18"/>
              </w:rPr>
              <w:t>Zaopiniował:</w:t>
            </w:r>
          </w:p>
          <w:p w:rsidR="006A6751" w:rsidRDefault="006A6751">
            <w:pPr>
              <w:rPr>
                <w:sz w:val="18"/>
                <w:szCs w:val="18"/>
              </w:rPr>
            </w:pPr>
          </w:p>
        </w:tc>
        <w:tc>
          <w:tcPr>
            <w:tcW w:w="4790" w:type="dxa"/>
            <w:gridSpan w:val="2"/>
            <w:tcBorders>
              <w:top w:val="single" w:sz="4" w:space="0" w:color="auto"/>
              <w:left w:val="single" w:sz="4" w:space="0" w:color="auto"/>
              <w:bottom w:val="single" w:sz="4" w:space="0" w:color="auto"/>
              <w:right w:val="single" w:sz="4" w:space="0" w:color="auto"/>
            </w:tcBorders>
          </w:tcPr>
          <w:p w:rsidR="006A6751" w:rsidRDefault="006A6751">
            <w:pPr>
              <w:rPr>
                <w:sz w:val="18"/>
                <w:szCs w:val="18"/>
              </w:rPr>
            </w:pPr>
            <w:r>
              <w:rPr>
                <w:sz w:val="18"/>
                <w:szCs w:val="18"/>
              </w:rPr>
              <w:t>Zatwierdził:</w:t>
            </w:r>
          </w:p>
          <w:p w:rsidR="006A6751" w:rsidRDefault="006A6751">
            <w:pPr>
              <w:rPr>
                <w:sz w:val="18"/>
                <w:szCs w:val="18"/>
              </w:rPr>
            </w:pPr>
          </w:p>
        </w:tc>
      </w:tr>
    </w:tbl>
    <w:p w:rsidR="006A6751" w:rsidRDefault="006A6751" w:rsidP="006A6751"/>
    <w:p w:rsidR="003F3C82" w:rsidRDefault="003F3C82" w:rsidP="003F3C82">
      <w:pPr>
        <w:jc w:val="center"/>
        <w:rPr>
          <w:b/>
        </w:rPr>
      </w:pPr>
      <w:r>
        <w:rPr>
          <w:b/>
        </w:rPr>
        <w:t>KLAUZULA INFORMACYJNA</w:t>
      </w:r>
    </w:p>
    <w:p w:rsidR="003F3C82" w:rsidRDefault="003F3C82" w:rsidP="003F3C82">
      <w:pPr>
        <w:jc w:val="center"/>
        <w:rPr>
          <w:b/>
        </w:rPr>
      </w:pPr>
    </w:p>
    <w:p w:rsidR="003F3C82" w:rsidRDefault="003F3C82" w:rsidP="003F3C82">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rsidR="003F3C82" w:rsidRDefault="003F3C82" w:rsidP="003F3C82">
      <w:pPr>
        <w:jc w:val="both"/>
      </w:pPr>
      <w:r>
        <w:t xml:space="preserve">1. Administratorem Pani/Pana danych osobowych jest Urząd Miasta i Gminy w Wodzisławiu (Ul. Krakowska 6, 28-330 Wodzisław, Tel. (41) 38-06-118). </w:t>
      </w:r>
    </w:p>
    <w:p w:rsidR="003F3C82" w:rsidRDefault="003F3C82" w:rsidP="003F3C82">
      <w:pPr>
        <w:jc w:val="both"/>
      </w:pPr>
      <w:r>
        <w:t xml:space="preserve">2. W sprawach z zakresu ochrony danych osobowych mogą Państwo kontaktować się </w:t>
      </w:r>
      <w:r>
        <w:br/>
        <w:t xml:space="preserve">z Inspektorem Ochrony Danych pod adresem e-mail: </w:t>
      </w:r>
      <w:hyperlink r:id="rId9" w:history="1">
        <w:r>
          <w:rPr>
            <w:rStyle w:val="Hipercze"/>
          </w:rPr>
          <w:t>robertbednar@wp.pl</w:t>
        </w:r>
      </w:hyperlink>
      <w:r>
        <w:t xml:space="preserve">. </w:t>
      </w:r>
    </w:p>
    <w:p w:rsidR="003F3C82" w:rsidRDefault="003F3C82" w:rsidP="003F3C82">
      <w:pPr>
        <w:jc w:val="both"/>
      </w:pPr>
      <w:r>
        <w:t xml:space="preserve">3. Dane osobowe będą przetwarzane w celu realizacji obowiązków prawnych ciążących na Administratorze. </w:t>
      </w:r>
    </w:p>
    <w:p w:rsidR="003F3C82" w:rsidRDefault="003F3C82" w:rsidP="003F3C82">
      <w:pPr>
        <w:jc w:val="both"/>
      </w:pPr>
      <w:r>
        <w:t xml:space="preserve">4. Dane osobowe będą przetwarzane przez okres niezbędny do realizacji ww. celu </w:t>
      </w:r>
      <w:r>
        <w:br/>
        <w:t>z uwzględnieniem okresów przechowywania określonych w przepisach odrębnych, w tym przepisów archiwalnych.</w:t>
      </w:r>
    </w:p>
    <w:p w:rsidR="003F3C82" w:rsidRDefault="003F3C82" w:rsidP="003F3C82">
      <w:pPr>
        <w:jc w:val="both"/>
      </w:pPr>
      <w:r>
        <w:t xml:space="preserve">5. Podstawą prawną przetwarzania danych jest art. 6 ust. 1 lit. c) ww. Rozporządzenia. </w:t>
      </w:r>
    </w:p>
    <w:p w:rsidR="003F3C82" w:rsidRDefault="003F3C82" w:rsidP="003F3C82">
      <w:pPr>
        <w:jc w:val="both"/>
      </w:pPr>
      <w:r>
        <w:t xml:space="preserve">6. Odbiorcami Pani/Pana danych będą podmioty, które na podstawie zawartych umów przetwarzają dane osobowe w imieniu Administratora. </w:t>
      </w:r>
    </w:p>
    <w:p w:rsidR="003F3C82" w:rsidRDefault="003F3C82" w:rsidP="003F3C82">
      <w:pPr>
        <w:jc w:val="both"/>
      </w:pPr>
      <w:r>
        <w:t xml:space="preserve">7. Osoba, której dane dotyczą ma prawo do: </w:t>
      </w:r>
    </w:p>
    <w:p w:rsidR="003F3C82" w:rsidRDefault="003F3C82" w:rsidP="003F3C82">
      <w:pPr>
        <w:jc w:val="both"/>
      </w:pPr>
      <w:r>
        <w:t xml:space="preserve">- dostępu do treści swoich danych oraz możliwości ich poprawiania, sprostowania, ograniczenia przetwarzania, a także - w przypadkach przewidzianych prawem - prawo do usunięcia danych i prawo do wniesienia sprzeciwu wobec przetwarzania Państwa danych. </w:t>
      </w:r>
    </w:p>
    <w:p w:rsidR="003F3C82" w:rsidRDefault="003F3C82" w:rsidP="003F3C82">
      <w:pPr>
        <w:jc w:val="both"/>
      </w:pPr>
      <w:r>
        <w:t xml:space="preserve">- wniesienia skargi do organu nadzorczego w przypadku gdy przetwarzanie danych odbywa się z naruszeniem przepisów powyższego rozporządzenia tj. Prezesa Urzędu Ochrony Danych Osobowych, ul. Stawki 2, 00-193 Warszawa. </w:t>
      </w:r>
    </w:p>
    <w:p w:rsidR="003F3C82" w:rsidRDefault="003F3C82" w:rsidP="003F3C82">
      <w:pPr>
        <w:jc w:val="both"/>
        <w:rPr>
          <w:szCs w:val="28"/>
        </w:rPr>
      </w:pPr>
      <w:r>
        <w:lastRenderedPageBreak/>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rsidR="00413576" w:rsidRDefault="00413576" w:rsidP="00413576">
      <w:pPr>
        <w:spacing w:before="240"/>
        <w:ind w:firstLine="708"/>
        <w:jc w:val="both"/>
        <w:rPr>
          <w:sz w:val="28"/>
          <w:szCs w:val="28"/>
        </w:rPr>
      </w:pPr>
      <w:bookmarkStart w:id="0" w:name="_GoBack"/>
      <w:bookmarkEnd w:id="0"/>
    </w:p>
    <w:sectPr w:rsidR="00413576" w:rsidSect="00606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49" w:rsidRDefault="008E3D49" w:rsidP="00557188">
      <w:r>
        <w:separator/>
      </w:r>
    </w:p>
  </w:endnote>
  <w:endnote w:type="continuationSeparator" w:id="0">
    <w:p w:rsidR="008E3D49" w:rsidRDefault="008E3D49" w:rsidP="005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49" w:rsidRDefault="008E3D49" w:rsidP="00557188">
      <w:r>
        <w:separator/>
      </w:r>
    </w:p>
  </w:footnote>
  <w:footnote w:type="continuationSeparator" w:id="0">
    <w:p w:rsidR="008E3D49" w:rsidRDefault="008E3D49" w:rsidP="0055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667"/>
    <w:multiLevelType w:val="hybridMultilevel"/>
    <w:tmpl w:val="555AF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B416EA"/>
    <w:multiLevelType w:val="hybridMultilevel"/>
    <w:tmpl w:val="DE089002"/>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278137D"/>
    <w:multiLevelType w:val="hybridMultilevel"/>
    <w:tmpl w:val="314EE6FC"/>
    <w:lvl w:ilvl="0" w:tplc="E83C07C0">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36"/>
    <w:rsid w:val="000D71F9"/>
    <w:rsid w:val="000E742D"/>
    <w:rsid w:val="0011166C"/>
    <w:rsid w:val="00245BF4"/>
    <w:rsid w:val="00325FC6"/>
    <w:rsid w:val="003F3C82"/>
    <w:rsid w:val="00413576"/>
    <w:rsid w:val="00464878"/>
    <w:rsid w:val="004D578A"/>
    <w:rsid w:val="00557188"/>
    <w:rsid w:val="006066DB"/>
    <w:rsid w:val="006A6751"/>
    <w:rsid w:val="007000A0"/>
    <w:rsid w:val="008E3D49"/>
    <w:rsid w:val="009442EE"/>
    <w:rsid w:val="009578BE"/>
    <w:rsid w:val="00A47508"/>
    <w:rsid w:val="00B64594"/>
    <w:rsid w:val="00BD1482"/>
    <w:rsid w:val="00C201F6"/>
    <w:rsid w:val="00CB2B3E"/>
    <w:rsid w:val="00E25F8F"/>
    <w:rsid w:val="00E95507"/>
    <w:rsid w:val="00F44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DA83D-EAC8-47F4-BB66-AEB166E8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A6751"/>
    <w:pPr>
      <w:keepNext/>
      <w:jc w:val="center"/>
      <w:outlineLvl w:val="0"/>
    </w:pPr>
    <w:rPr>
      <w:b/>
      <w:bCs/>
      <w:color w:val="008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751"/>
    <w:rPr>
      <w:rFonts w:ascii="Times New Roman" w:eastAsia="Times New Roman" w:hAnsi="Times New Roman" w:cs="Times New Roman"/>
      <w:b/>
      <w:bCs/>
      <w:color w:val="008000"/>
      <w:sz w:val="24"/>
      <w:szCs w:val="24"/>
      <w:lang w:eastAsia="pl-PL"/>
    </w:rPr>
  </w:style>
  <w:style w:type="character" w:styleId="Hipercze">
    <w:name w:val="Hyperlink"/>
    <w:basedOn w:val="Domylnaczcionkaakapitu"/>
    <w:semiHidden/>
    <w:unhideWhenUsed/>
    <w:rsid w:val="006A6751"/>
    <w:rPr>
      <w:color w:val="0000FF"/>
      <w:u w:val="single"/>
    </w:rPr>
  </w:style>
  <w:style w:type="paragraph" w:styleId="Akapitzlist">
    <w:name w:val="List Paragraph"/>
    <w:basedOn w:val="Normalny"/>
    <w:uiPriority w:val="34"/>
    <w:qFormat/>
    <w:rsid w:val="004D578A"/>
    <w:pPr>
      <w:ind w:left="720"/>
      <w:contextualSpacing/>
    </w:pPr>
  </w:style>
  <w:style w:type="paragraph" w:styleId="Tekstprzypisukocowego">
    <w:name w:val="endnote text"/>
    <w:basedOn w:val="Normalny"/>
    <w:link w:val="TekstprzypisukocowegoZnak"/>
    <w:uiPriority w:val="99"/>
    <w:semiHidden/>
    <w:unhideWhenUsed/>
    <w:rsid w:val="00557188"/>
    <w:rPr>
      <w:sz w:val="20"/>
      <w:szCs w:val="20"/>
    </w:rPr>
  </w:style>
  <w:style w:type="character" w:customStyle="1" w:styleId="TekstprzypisukocowegoZnak">
    <w:name w:val="Tekst przypisu końcowego Znak"/>
    <w:basedOn w:val="Domylnaczcionkaakapitu"/>
    <w:link w:val="Tekstprzypisukocowego"/>
    <w:uiPriority w:val="99"/>
    <w:semiHidden/>
    <w:rsid w:val="0055718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57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6002">
      <w:bodyDiv w:val="1"/>
      <w:marLeft w:val="0"/>
      <w:marRight w:val="0"/>
      <w:marTop w:val="0"/>
      <w:marBottom w:val="0"/>
      <w:divBdr>
        <w:top w:val="none" w:sz="0" w:space="0" w:color="auto"/>
        <w:left w:val="none" w:sz="0" w:space="0" w:color="auto"/>
        <w:bottom w:val="none" w:sz="0" w:space="0" w:color="auto"/>
        <w:right w:val="none" w:sz="0" w:space="0" w:color="auto"/>
      </w:divBdr>
    </w:div>
    <w:div w:id="1450975886">
      <w:bodyDiv w:val="1"/>
      <w:marLeft w:val="0"/>
      <w:marRight w:val="0"/>
      <w:marTop w:val="0"/>
      <w:marBottom w:val="0"/>
      <w:divBdr>
        <w:top w:val="none" w:sz="0" w:space="0" w:color="auto"/>
        <w:left w:val="none" w:sz="0" w:space="0" w:color="auto"/>
        <w:bottom w:val="none" w:sz="0" w:space="0" w:color="auto"/>
        <w:right w:val="none" w:sz="0" w:space="0" w:color="auto"/>
      </w:divBdr>
    </w:div>
    <w:div w:id="18072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odzislaw@wp.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bednar@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5</cp:revision>
  <cp:lastPrinted>2013-09-13T11:59:00Z</cp:lastPrinted>
  <dcterms:created xsi:type="dcterms:W3CDTF">2020-12-22T12:10:00Z</dcterms:created>
  <dcterms:modified xsi:type="dcterms:W3CDTF">2021-01-04T07:05:00Z</dcterms:modified>
</cp:coreProperties>
</file>